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安徽省律师专业能力认定标准</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一、为客观公正做好律师专业能力认定工作，科学有效评价律师专业能力，根据《安徽省司法厅关于开展律师专业水平评定试点工作的实施办法》（以下简称《实施办法》）有关规定，结合律师行业实际，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二、安徽省律师专业能力认定标准涉及律师办理案件数量、在该领域的学术研究成果、律师办理案件的重大、复杂疑难程度，获得的相关表彰和荣誉、担任的专业职务等八项指标。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三、符合下列指标之一者，认定专业能力合格：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（一）申报刑事、婚姻家庭法、公司法、金融证券保险、建筑房地产、劳动法、行政法专业律师的，在连续执业年限内办理该专业的诉讼、非诉讼案件累计20件以上；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申报知识产权、涉外法律服务专业律师的，在连续执业年限内办理该专业的诉讼、非诉讼案件累计7件以上；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（二）连续执业年限内在省级以上刊物上发表或者省际间以上研讨会、论坛上交流该专业学术论文累计3篇以上，或在国家级刊物上发表该专业学术论文1篇以上；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（三）连续执业年限内公开出版发行该专业学术著作或译著1部以上（独著或合著）；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（四）连续执业年限内办理省内有重大影响的该专业案件2件以上，或者国内有重大影响的该专业案件1件以上。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四、申报刑事、婚姻家庭法、公司法、金融证券保险、建筑房地产、劳动法、行政法专业律师，在连续执业年限内办理该专业的诉讼、非诉讼案件累计10件以上，且不足20件；申报知识产权、涉外法律服务专业律师，在连续执业年限内办理该专业的诉讼、非诉讼案件累计4件以上且不足7件的，同时满足下列指标之一的，认定专业能力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（一）该专业工作业绩突出，获得与该专业工作相关的市厅级以上党政机关、人民团体或者省级以上律师协会表彰；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（二）取得国家颁发或者认可的该专业资质；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（三）担任省级以上该专业专家库成员；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（四）其他能证明该专业能力的情形。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五、连续执业年限内办理该专业的诉讼、非诉讼案件。其中诉讼、仲裁案件应以裁判文书（判决书、裁定书、调解书或裁决书）为依据；非诉讼案件应以专项法律意见书等非诉讼案件工作成果为依据。法律顾问合同应与所办顾问业务的其他材料，共同证明所办业务。每份法律顾问合同及该合同期限内所有的法律顾问业务，每年度内的视为1件案件。参评律师实习期间办理的案件不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六、国家级刊物应是刊物主管、主办单位为国家级单位或标有“全国性期刊”、“核心期刊”字样的刊物。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省级刊物是省级党委政府及其组成部门主办或主管的刊物，由各本、专科院校主办的学报(刊)，以及非公开发表但经本规则认定的《安徽律师》。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七、公开出版发行的专业学术著作应是经国家新闻出版署批准设立的出版社出版的具有国际书号（ISBN）的专著、译著、本人论文集、资料编（译）著、辞书或合著等。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仅担任著作编委会成员但没有署名为作者的，不视为公开出版发行著作或译著。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八、省内有重大影响的案件包括：由高级人民法院审理的；引起社会普遍关注的共同诉讼、集团诉讼案件；存在重大敏感性因素、对社会稳定有重大影响的案件；重大涉外及涉港澳台案件；为国家和省级重点工程提供服务的非诉讼案件；省内其他有重大影响的案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国内重大影响的案件包括：最高院审理及指定中院管辖的案件；国内其他有重大影响的案件。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九、省级以上该专业专家库证明材料是指国家级单位、省级党委政府及其组成部门发放的与专业有关的聘书或任职文件。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十、全国律协、省律协相关专委会的委员身份不属于其他能证明该专业能力的情形。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十一、本标准由安徽省律师协会负责解释。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十二、本标准自2019年8月10日起试行。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1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2019-10-18T02:11:54Z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